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16" w:rsidRPr="001E5E16" w:rsidRDefault="001E5E16" w:rsidP="001E5E16">
      <w:pPr>
        <w:spacing w:after="75" w:line="253" w:lineRule="atLeast"/>
        <w:jc w:val="center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ПРОТОКОЛ</w:t>
      </w:r>
      <w:bookmarkStart w:id="0" w:name="_GoBack"/>
      <w:bookmarkEnd w:id="0"/>
      <w:r w:rsidRPr="001E5E16">
        <w:rPr>
          <w:rFonts w:ascii="Tahoma" w:hAnsi="Tahoma" w:cs="Tahoma"/>
          <w:sz w:val="20"/>
          <w:szCs w:val="20"/>
        </w:rPr>
        <w:br/>
      </w:r>
      <w:r w:rsidRPr="001E5E16">
        <w:rPr>
          <w:rStyle w:val="a3"/>
          <w:rFonts w:ascii="Tahoma" w:hAnsi="Tahoma" w:cs="Tahoma"/>
          <w:sz w:val="20"/>
          <w:szCs w:val="20"/>
        </w:rPr>
        <w:t>заседания секции твердых полезных ископаемых Экспертно-технического совета</w:t>
      </w:r>
      <w:r w:rsidRPr="001E5E16">
        <w:rPr>
          <w:rFonts w:ascii="Tahoma" w:hAnsi="Tahoma" w:cs="Tahoma"/>
          <w:b/>
          <w:bCs/>
          <w:sz w:val="20"/>
          <w:szCs w:val="20"/>
        </w:rPr>
        <w:br/>
      </w:r>
      <w:r w:rsidRPr="001E5E16">
        <w:rPr>
          <w:rStyle w:val="a3"/>
          <w:rFonts w:ascii="Tahoma" w:hAnsi="Tahoma" w:cs="Tahoma"/>
          <w:sz w:val="20"/>
          <w:szCs w:val="20"/>
        </w:rPr>
        <w:t>Федерального бюджетного учреждения "Государственная комиссия по запасам полезных ископаемых" (ФБУ "ГКЗ")</w:t>
      </w:r>
    </w:p>
    <w:p w:rsidR="001E5E16" w:rsidRPr="001E5E16" w:rsidRDefault="001E5E16" w:rsidP="001E5E16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«24» мая 2012 г.                                                                                                         г. Москва</w:t>
      </w:r>
    </w:p>
    <w:p w:rsidR="001E5E16" w:rsidRPr="001E5E16" w:rsidRDefault="001E5E16" w:rsidP="001E5E16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 </w:t>
      </w:r>
    </w:p>
    <w:p w:rsidR="001E5E16" w:rsidRPr="001E5E16" w:rsidRDefault="001E5E16" w:rsidP="001E5E16">
      <w:pPr>
        <w:pStyle w:val="a4"/>
        <w:spacing w:before="12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ПРИСУТСТВОВАЛИ: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Члены ЭТС: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Воропаев Валентин Иванович Заместитель Генерального директора ФБУ "ГКЗ", руководитель секции ТПИ ЭТС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1E5E16">
        <w:rPr>
          <w:rFonts w:ascii="Tahoma" w:hAnsi="Tahoma" w:cs="Tahoma"/>
          <w:sz w:val="20"/>
          <w:szCs w:val="20"/>
        </w:rPr>
        <w:t>Будрик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Вячеслав Георгиевич Начальник отдела металлов</w:t>
      </w:r>
      <w:r w:rsidRPr="001E5E16">
        <w:rPr>
          <w:rStyle w:val="apple-converted-space"/>
          <w:rFonts w:ascii="Tahoma" w:hAnsi="Tahoma" w:cs="Tahoma"/>
          <w:sz w:val="20"/>
          <w:szCs w:val="20"/>
        </w:rPr>
        <w:t> </w:t>
      </w:r>
      <w:r w:rsidRPr="001E5E16">
        <w:rPr>
          <w:rFonts w:ascii="Tahoma" w:hAnsi="Tahoma" w:cs="Tahoma"/>
          <w:sz w:val="20"/>
          <w:szCs w:val="20"/>
        </w:rPr>
        <w:t>ФБУ "ГКЗ", заместитель руководителя секции ТПИ ЭТС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Фролова Елена Викторовна Главный специалист отдела металлов</w:t>
      </w:r>
      <w:r w:rsidRPr="001E5E16">
        <w:rPr>
          <w:rStyle w:val="apple-converted-space"/>
          <w:rFonts w:ascii="Tahoma" w:hAnsi="Tahoma" w:cs="Tahoma"/>
          <w:sz w:val="20"/>
          <w:szCs w:val="20"/>
        </w:rPr>
        <w:t> </w:t>
      </w:r>
      <w:r w:rsidRPr="001E5E16">
        <w:rPr>
          <w:rFonts w:ascii="Tahoma" w:hAnsi="Tahoma" w:cs="Tahoma"/>
          <w:sz w:val="20"/>
          <w:szCs w:val="20"/>
        </w:rPr>
        <w:t>ФБУ "ГКЗ", секретарь секции ТПИ ЭТС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Воронцов Валерий Александрович Доцент РГГРУ, к. г.-м. н.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Гуськов Олег Иванович Профессор РГГРУ, к. г.-м. н.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1E5E16">
        <w:rPr>
          <w:rFonts w:ascii="Tahoma" w:hAnsi="Tahoma" w:cs="Tahoma"/>
          <w:sz w:val="20"/>
          <w:szCs w:val="20"/>
        </w:rPr>
        <w:t>Мессерман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Игорь Залманович Профессор РГГРУ, к. г.-м. н.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Сидорков Евгений Александрович Профессор РГГРУ, к. г.-м. н.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Кушнарев Петр Иванович Руководитель группы мат. моделирования УК Полюс геологоразведка, к. г.-м. н.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Внештатные исполнители: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Кустов </w:t>
      </w:r>
      <w:proofErr w:type="gramStart"/>
      <w:r w:rsidRPr="001E5E16">
        <w:rPr>
          <w:rFonts w:ascii="Tahoma" w:hAnsi="Tahoma" w:cs="Tahoma"/>
          <w:sz w:val="20"/>
          <w:szCs w:val="20"/>
        </w:rPr>
        <w:t>Юрий Евгеньевич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Ведущий научный сотрудник ФГУП "ВИМС", к. г.-м. н.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Иванов Сергей Николаевич Консультант</w:t>
      </w:r>
      <w:r w:rsidRPr="001E5E16">
        <w:rPr>
          <w:rStyle w:val="apple-converted-space"/>
          <w:rFonts w:ascii="Tahoma" w:hAnsi="Tahoma" w:cs="Tahoma"/>
          <w:sz w:val="20"/>
          <w:szCs w:val="20"/>
        </w:rPr>
        <w:t> </w:t>
      </w:r>
      <w:r w:rsidRPr="001E5E16">
        <w:rPr>
          <w:rFonts w:ascii="Tahoma" w:hAnsi="Tahoma" w:cs="Tahoma"/>
          <w:sz w:val="20"/>
          <w:szCs w:val="20"/>
        </w:rPr>
        <w:t>ФГУП "ВИМС"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Приглашенные:</w:t>
      </w:r>
    </w:p>
    <w:p w:rsidR="001E5E16" w:rsidRPr="001E5E16" w:rsidRDefault="001E5E16" w:rsidP="001E5E16">
      <w:pPr>
        <w:spacing w:after="75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Сиротин Валерий Иванович Главный геолог ООО «Проекты и технологии - Управление и разработка»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proofErr w:type="spellStart"/>
      <w:r w:rsidRPr="001E5E16">
        <w:rPr>
          <w:rFonts w:ascii="Tahoma" w:hAnsi="Tahoma" w:cs="Tahoma"/>
          <w:sz w:val="20"/>
          <w:szCs w:val="20"/>
        </w:rPr>
        <w:t>Паранин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Дмитрий Владимирович </w:t>
      </w:r>
      <w:proofErr w:type="spellStart"/>
      <w:r w:rsidRPr="001E5E16">
        <w:rPr>
          <w:rFonts w:ascii="Tahoma" w:hAnsi="Tahoma" w:cs="Tahoma"/>
          <w:sz w:val="20"/>
          <w:szCs w:val="20"/>
        </w:rPr>
        <w:t>и.о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. Управляющего Директора ОАО "Боксит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"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proofErr w:type="spellStart"/>
      <w:r w:rsidRPr="001E5E16">
        <w:rPr>
          <w:rFonts w:ascii="Tahoma" w:hAnsi="Tahoma" w:cs="Tahoma"/>
          <w:sz w:val="20"/>
          <w:szCs w:val="20"/>
        </w:rPr>
        <w:t>Хоробров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Денис Алексеевич Главный геолог ОАО "Боксит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"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Бабкин Николай Яковлевич Начальник ГПО ФГУП «</w:t>
      </w:r>
      <w:proofErr w:type="spellStart"/>
      <w:r w:rsidRPr="001E5E16">
        <w:rPr>
          <w:rFonts w:ascii="Tahoma" w:hAnsi="Tahoma" w:cs="Tahoma"/>
          <w:sz w:val="20"/>
          <w:szCs w:val="20"/>
        </w:rPr>
        <w:t>Урангеологоразведка</w:t>
      </w:r>
      <w:proofErr w:type="spellEnd"/>
      <w:r w:rsidRPr="001E5E16">
        <w:rPr>
          <w:rFonts w:ascii="Tahoma" w:hAnsi="Tahoma" w:cs="Tahoma"/>
          <w:sz w:val="20"/>
          <w:szCs w:val="20"/>
        </w:rPr>
        <w:t>»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Маркелов Сергей Владимирович Профессор РГГРУ, д.т.н., к.г.-</w:t>
      </w:r>
      <w:proofErr w:type="spellStart"/>
      <w:r w:rsidRPr="001E5E16">
        <w:rPr>
          <w:rFonts w:ascii="Tahoma" w:hAnsi="Tahoma" w:cs="Tahoma"/>
          <w:sz w:val="20"/>
          <w:szCs w:val="20"/>
        </w:rPr>
        <w:t>м.н</w:t>
      </w:r>
      <w:proofErr w:type="spellEnd"/>
      <w:r w:rsidRPr="001E5E16">
        <w:rPr>
          <w:rFonts w:ascii="Tahoma" w:hAnsi="Tahoma" w:cs="Tahoma"/>
          <w:sz w:val="20"/>
          <w:szCs w:val="20"/>
        </w:rPr>
        <w:t>.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Самойлов Владислав Юрьевич Начальник отдела ООО «</w:t>
      </w:r>
      <w:proofErr w:type="spellStart"/>
      <w:r w:rsidRPr="001E5E16">
        <w:rPr>
          <w:rFonts w:ascii="Tahoma" w:hAnsi="Tahoma" w:cs="Tahoma"/>
          <w:sz w:val="20"/>
          <w:szCs w:val="20"/>
        </w:rPr>
        <w:t>ИИТиМУН</w:t>
      </w:r>
      <w:proofErr w:type="spellEnd"/>
      <w:r w:rsidRPr="001E5E16">
        <w:rPr>
          <w:rFonts w:ascii="Tahoma" w:hAnsi="Tahoma" w:cs="Tahoma"/>
          <w:sz w:val="20"/>
          <w:szCs w:val="20"/>
        </w:rPr>
        <w:t>»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Фоменко Александр Евгеньевич Заместитель директора по </w:t>
      </w:r>
      <w:proofErr w:type="spellStart"/>
      <w:proofErr w:type="gramStart"/>
      <w:r w:rsidRPr="001E5E16">
        <w:rPr>
          <w:rFonts w:ascii="Tahoma" w:hAnsi="Tahoma" w:cs="Tahoma"/>
          <w:sz w:val="20"/>
          <w:szCs w:val="20"/>
        </w:rPr>
        <w:t>ТПИ«</w:t>
      </w:r>
      <w:proofErr w:type="gramEnd"/>
      <w:r w:rsidRPr="001E5E16">
        <w:rPr>
          <w:rFonts w:ascii="Tahoma" w:hAnsi="Tahoma" w:cs="Tahoma"/>
          <w:sz w:val="20"/>
          <w:szCs w:val="20"/>
        </w:rPr>
        <w:t>Нефтегазиндустрия</w:t>
      </w:r>
      <w:proofErr w:type="spellEnd"/>
      <w:r w:rsidRPr="001E5E16">
        <w:rPr>
          <w:rFonts w:ascii="Tahoma" w:hAnsi="Tahoma" w:cs="Tahoma"/>
          <w:sz w:val="20"/>
          <w:szCs w:val="20"/>
        </w:rPr>
        <w:t>», к.г.-</w:t>
      </w:r>
      <w:proofErr w:type="spellStart"/>
      <w:r w:rsidRPr="001E5E16">
        <w:rPr>
          <w:rFonts w:ascii="Tahoma" w:hAnsi="Tahoma" w:cs="Tahoma"/>
          <w:sz w:val="20"/>
          <w:szCs w:val="20"/>
        </w:rPr>
        <w:t>м.н</w:t>
      </w:r>
      <w:proofErr w:type="spellEnd"/>
      <w:r w:rsidRPr="001E5E16">
        <w:rPr>
          <w:rFonts w:ascii="Tahoma" w:hAnsi="Tahoma" w:cs="Tahoma"/>
          <w:sz w:val="20"/>
          <w:szCs w:val="20"/>
        </w:rPr>
        <w:t>.</w:t>
      </w:r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Образцова Лариса Андреевна Консультант </w:t>
      </w:r>
      <w:proofErr w:type="spellStart"/>
      <w:r w:rsidRPr="001E5E16">
        <w:rPr>
          <w:rFonts w:ascii="Tahoma" w:hAnsi="Tahoma" w:cs="Tahoma"/>
          <w:sz w:val="20"/>
          <w:szCs w:val="20"/>
        </w:rPr>
        <w:t>Гипроцветмет</w:t>
      </w:r>
      <w:proofErr w:type="spellEnd"/>
    </w:p>
    <w:p w:rsidR="001E5E16" w:rsidRPr="001E5E16" w:rsidRDefault="001E5E16" w:rsidP="001E5E16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Лебедев Егор Алексеевич Инженер отдела металлов ФБУ «ГКЗ»</w:t>
      </w:r>
    </w:p>
    <w:p w:rsidR="001E5E16" w:rsidRPr="001E5E16" w:rsidRDefault="001E5E16" w:rsidP="001E5E16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Председательствовал</w:t>
      </w:r>
      <w:r w:rsidRPr="001E5E16">
        <w:rPr>
          <w:rStyle w:val="apple-converted-space"/>
          <w:rFonts w:ascii="Tahoma" w:hAnsi="Tahoma" w:cs="Tahoma"/>
          <w:sz w:val="20"/>
          <w:szCs w:val="20"/>
        </w:rPr>
        <w:t> </w:t>
      </w:r>
      <w:r w:rsidRPr="001E5E16">
        <w:rPr>
          <w:rFonts w:ascii="Tahoma" w:hAnsi="Tahoma" w:cs="Tahoma"/>
          <w:sz w:val="20"/>
          <w:szCs w:val="20"/>
        </w:rPr>
        <w:t>Воропаев В.И.</w:t>
      </w:r>
    </w:p>
    <w:p w:rsidR="001E5E16" w:rsidRPr="001E5E16" w:rsidRDefault="001E5E16" w:rsidP="001E5E16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 </w:t>
      </w:r>
    </w:p>
    <w:p w:rsidR="001E5E16" w:rsidRPr="001E5E16" w:rsidRDefault="001E5E16" w:rsidP="001E5E16">
      <w:pPr>
        <w:spacing w:after="120" w:line="254" w:lineRule="atLeast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ПОВЕСТКА ДНЯ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Рассмотрение Заключения рабочей группы по результатам анализа и оценки обоснованности принятых методических решений при определении количественных и качественных параметров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месторождения, изложенных в работе «ТЭО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условиям», в рамках оказания консалтинговых услуг по договору № 1/12/МЕ/К от 23.03.2012 г. с 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».</w:t>
      </w:r>
    </w:p>
    <w:p w:rsidR="001E5E16" w:rsidRPr="001E5E16" w:rsidRDefault="001E5E16" w:rsidP="001E5E16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 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1. Слушали: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lastRenderedPageBreak/>
        <w:t xml:space="preserve">1.1. </w:t>
      </w:r>
      <w:proofErr w:type="gramStart"/>
      <w:r w:rsidRPr="001E5E16">
        <w:rPr>
          <w:rFonts w:ascii="Tahoma" w:hAnsi="Tahoma" w:cs="Tahoma"/>
          <w:sz w:val="20"/>
          <w:szCs w:val="20"/>
        </w:rPr>
        <w:t>Сообщение  представителя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», автора - главного геолога ООО «Проекты и Технологии - Управление и разработка» Сиротина В.И.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1.2. Выступление внештатных исполнителей </w:t>
      </w:r>
      <w:proofErr w:type="spellStart"/>
      <w:r w:rsidRPr="001E5E16">
        <w:rPr>
          <w:rFonts w:ascii="Tahoma" w:hAnsi="Tahoma" w:cs="Tahoma"/>
          <w:sz w:val="20"/>
          <w:szCs w:val="20"/>
        </w:rPr>
        <w:t>Кустова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Ю.Е., Иванова С.Н.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1.3. Выступление представителя ЭТС </w:t>
      </w:r>
      <w:proofErr w:type="spellStart"/>
      <w:r w:rsidRPr="001E5E16">
        <w:rPr>
          <w:rFonts w:ascii="Tahoma" w:hAnsi="Tahoma" w:cs="Tahoma"/>
          <w:sz w:val="20"/>
          <w:szCs w:val="20"/>
        </w:rPr>
        <w:t>Будрика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В.Г.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2. Представленные материалы и объект исследований: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2.1. В ФБУ «ГКЗ» с целью проведения анализа и оценки обоснованности принятых методических решений при определении количественных и качественных параметров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месторождения, изложенных в работе «ТЭО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условиям», разработанного совместно ООО «Специализированный проектный институт «СУБР-Проект» и ООО «Проекты и технологии - Управление и разработка» были представлены следующие материалы: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«ТЭО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условиям», СПИ «СУБР-проект» (г. Североуральск) и ООО «Проекты и Технологии – Управление и Разработка» (г. Санкт-Петербург), 2007-2008 гг.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Отчёт по оценке и анализу качества представленных материалов «ТЭО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условиям», ООО «ИИТ и МУН», Москва, 2011 г.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«Дополнение к 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условиям», ООО «Проекты и Технологии – Управление и Разработка» (г. Санкт-Петербург), 2012г.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Рассматривали материалы и дали свои заключения: геологическая часть - Кустов Ю.Е., экономическая часть - Иванов С.Н.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Заключения внештатных исполнителей являются неотъемлемой частью данного Протокола заседания Секции твердых полезных ископаемых Экспертно-технического Совета ФБУ «Государственная комиссия по запасам полезных ископаемых».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3. Согласно представленным материалам:</w:t>
      </w:r>
    </w:p>
    <w:p w:rsidR="001E5E16" w:rsidRPr="001E5E16" w:rsidRDefault="001E5E16" w:rsidP="001E5E16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3.1. Работа выполнена в 2008 г. совместно ООО «Специализированный проектный институт «СУБР-Проект» и ООО «Проекты и технологии - Управление и разработка» по договору с </w:t>
      </w:r>
      <w:proofErr w:type="spellStart"/>
      <w:r w:rsidRPr="001E5E16">
        <w:rPr>
          <w:rFonts w:ascii="Tahoma" w:hAnsi="Tahoma" w:cs="Tahoma"/>
          <w:sz w:val="20"/>
          <w:szCs w:val="20"/>
        </w:rPr>
        <w:t>недропользователем</w:t>
      </w:r>
      <w:proofErr w:type="spellEnd"/>
      <w:r w:rsidRPr="001E5E16">
        <w:rPr>
          <w:rFonts w:ascii="Tahoma" w:hAnsi="Tahoma" w:cs="Tahoma"/>
          <w:sz w:val="20"/>
          <w:szCs w:val="20"/>
        </w:rPr>
        <w:t>.</w:t>
      </w:r>
    </w:p>
    <w:p w:rsidR="001E5E16" w:rsidRPr="001E5E16" w:rsidRDefault="001E5E16" w:rsidP="001E5E16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2011 г. «Институтом инновационных технологий и методов управления недропользованием» по договору с </w:t>
      </w:r>
      <w:proofErr w:type="spellStart"/>
      <w:r w:rsidRPr="001E5E16">
        <w:rPr>
          <w:rFonts w:ascii="Tahoma" w:hAnsi="Tahoma" w:cs="Tahoma"/>
          <w:sz w:val="20"/>
          <w:szCs w:val="20"/>
        </w:rPr>
        <w:t>недропользователем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была выполнена оценка и </w:t>
      </w:r>
      <w:proofErr w:type="gramStart"/>
      <w:r w:rsidRPr="001E5E16">
        <w:rPr>
          <w:rFonts w:ascii="Tahoma" w:hAnsi="Tahoma" w:cs="Tahoma"/>
          <w:sz w:val="20"/>
          <w:szCs w:val="20"/>
        </w:rPr>
        <w:t>анализ  качества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материалов ТЭО.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2012 г. ООО «Проекты и технологии - Управление и разработка» разработало «Дополнения к 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условиям», которая является актуализация выводов и показателей ТЭО 2008 г.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Целью разработки «ТЭО целесообразности переоценки запасов бокситов…» являлось выполнение пункта 4.1.з) лицензионного соглашения об условиях пользования недрами к лицензии СЫК № 11363 ТЭ, в соответствии с которым </w:t>
      </w:r>
      <w:proofErr w:type="spellStart"/>
      <w:r w:rsidRPr="001E5E16">
        <w:rPr>
          <w:rFonts w:ascii="Tahoma" w:hAnsi="Tahoma" w:cs="Tahoma"/>
          <w:sz w:val="20"/>
          <w:szCs w:val="20"/>
        </w:rPr>
        <w:t>недропользователь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(ОАО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») обязуется «обеспечить подготовку и представление на государственную экспертизу запасов полезных ископаемых технико-экономического обоснования (ТЭО)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 не позднее 30 ноября 2007 года (содержание и состав ТЭО согласовать с Агентством и ГКЗ МПР России не позднее 30 мая 2007 года); на основании результатов рассмотрения ТЭО </w:t>
      </w:r>
      <w:proofErr w:type="spellStart"/>
      <w:r w:rsidRPr="001E5E16">
        <w:rPr>
          <w:rFonts w:ascii="Tahoma" w:hAnsi="Tahoma" w:cs="Tahoma"/>
          <w:sz w:val="20"/>
          <w:szCs w:val="20"/>
        </w:rPr>
        <w:t>недропользователь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вносит предложения по дополнению Лицензионного соглашения».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Данный пункт лицензионного соглашения был добавлен лицензирующим органом в 2004 г. в связи с планами по строительству в то время </w:t>
      </w:r>
      <w:proofErr w:type="spellStart"/>
      <w:r w:rsidRPr="001E5E16">
        <w:rPr>
          <w:rFonts w:ascii="Tahoma" w:hAnsi="Tahoma" w:cs="Tahoma"/>
          <w:sz w:val="20"/>
          <w:szCs w:val="20"/>
        </w:rPr>
        <w:t>Сосногорского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глиноземного завода.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lastRenderedPageBreak/>
        <w:t>Задача заключалась в оценке соответствия действующих кондиционных требований для подсчета запасов глиноземных бокситов современному состоянию технологии их переработки и рынка глиноземного сырья.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3.2. Лицензия на право пользования недрами СЫК № 00203 ТЭ с целевым назначением «разработка бокситов 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группы месторождений с геологическим </w:t>
      </w:r>
      <w:proofErr w:type="spellStart"/>
      <w:r w:rsidRPr="001E5E16">
        <w:rPr>
          <w:rFonts w:ascii="Tahoma" w:hAnsi="Tahoma" w:cs="Tahoma"/>
          <w:sz w:val="20"/>
          <w:szCs w:val="20"/>
        </w:rPr>
        <w:t>доизучением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» была выдана АООТ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» в апреле 1996 г. Министерством природных ресурсов и охраны окружающей среды Республики Коми. Лицензия впоследствии была переоформлена в связи с изменением наименования юридического лица-пользователя недр.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настоящее время 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» владеет лицензией СЫК № 11363 ТЭ от 04.01.2003 г., на право пользования недрами с целью разработки бокситов, срок действия которой продлен до 2022 года (Дополнение № 1 от 09.07.2004 г.).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Участок недр имеет статус горного отвода.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По глубине горный отвод ограничивается подошвой подсчета запасов полезного ископаемого (максимальная глубина – до абсолютной отметки – 210 м).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Общая площадь горного отвода по Лицензионному участку составляет 75,78 км2.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3.3. Месторождение открыто по результатам поисковых работ 1971-1974 гг. Разведанные в 1970-1980 годах и подготовленные для промышленного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Вежаю-Ворыквинское</w:t>
      </w:r>
      <w:proofErr w:type="spellEnd"/>
      <w:r w:rsidRPr="001E5E16">
        <w:rPr>
          <w:rFonts w:ascii="Tahoma" w:hAnsi="Tahoma" w:cs="Tahoma"/>
          <w:sz w:val="20"/>
          <w:szCs w:val="20"/>
        </w:rPr>
        <w:t>, Верхне-</w:t>
      </w:r>
      <w:proofErr w:type="spellStart"/>
      <w:r w:rsidRPr="001E5E16">
        <w:rPr>
          <w:rFonts w:ascii="Tahoma" w:hAnsi="Tahoma" w:cs="Tahoma"/>
          <w:sz w:val="20"/>
          <w:szCs w:val="20"/>
        </w:rPr>
        <w:t>Щугорское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Восточное месторождения бокситов входят в состав 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группы месторождений Среднего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расположены в непосредственной близости друг от друга на стыке </w:t>
      </w:r>
      <w:proofErr w:type="spellStart"/>
      <w:r w:rsidRPr="001E5E16">
        <w:rPr>
          <w:rFonts w:ascii="Tahoma" w:hAnsi="Tahoma" w:cs="Tahoma"/>
          <w:sz w:val="20"/>
          <w:szCs w:val="20"/>
        </w:rPr>
        <w:t>Усть-Цилемского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E5E16">
        <w:rPr>
          <w:rFonts w:ascii="Tahoma" w:hAnsi="Tahoma" w:cs="Tahoma"/>
          <w:sz w:val="20"/>
          <w:szCs w:val="20"/>
        </w:rPr>
        <w:t>Княжпогостского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1E5E16">
        <w:rPr>
          <w:rFonts w:ascii="Tahoma" w:hAnsi="Tahoma" w:cs="Tahoma"/>
          <w:sz w:val="20"/>
          <w:szCs w:val="20"/>
        </w:rPr>
        <w:t>Удорского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районов Республики Коми, в 150-160 км к северо-западу от г. Ухты.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Месторождения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группы являются сырьевой базой Средне-</w:t>
      </w:r>
      <w:proofErr w:type="spellStart"/>
      <w:r w:rsidRPr="001E5E16">
        <w:rPr>
          <w:rFonts w:ascii="Tahoma" w:hAnsi="Tahoma" w:cs="Tahoma"/>
          <w:sz w:val="20"/>
          <w:szCs w:val="20"/>
        </w:rPr>
        <w:t>Тиманского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бокситового рудника (СТБР), действующего с 1998 года.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Месторождение состоит из трех самостоятельных и разобщенных залежей бокситов: Центральной, Верхне-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Западной.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Центральная залежь, в составе которой сосредоточены основные запасы месторождения, вытянута с севера на юг более чем на 7 км, при ширине до 3-х км, имеет сложную конфигурацию с пережимами, «</w:t>
      </w:r>
      <w:proofErr w:type="spellStart"/>
      <w:r w:rsidRPr="001E5E16">
        <w:rPr>
          <w:rFonts w:ascii="Tahoma" w:hAnsi="Tahoma" w:cs="Tahoma"/>
          <w:sz w:val="20"/>
          <w:szCs w:val="20"/>
        </w:rPr>
        <w:t>заливообразными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» </w:t>
      </w:r>
      <w:proofErr w:type="spellStart"/>
      <w:r w:rsidRPr="001E5E16">
        <w:rPr>
          <w:rFonts w:ascii="Tahoma" w:hAnsi="Tahoma" w:cs="Tahoma"/>
          <w:sz w:val="20"/>
          <w:szCs w:val="20"/>
        </w:rPr>
        <w:t>безрудными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участками и «окнами».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Западная залежь примыкает к Центральной с юго-запада и имеет сложную форму с размерами 1,3 х 2,2 км. Она отделена от Центральной залежи </w:t>
      </w:r>
      <w:proofErr w:type="spellStart"/>
      <w:r w:rsidRPr="001E5E16">
        <w:rPr>
          <w:rFonts w:ascii="Tahoma" w:hAnsi="Tahoma" w:cs="Tahoma"/>
          <w:sz w:val="20"/>
          <w:szCs w:val="20"/>
        </w:rPr>
        <w:t>грядообразным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выступом фундамента северо-западного простирания.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Верхне-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Ворыквинская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залежь расположена на правобережье р. 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 2,5 км к юго-западу от западной залежи. Длина ее (в северо-западном направлении) составляет 2,2 км при ширине от 100 до 600м.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При оконтуривании по условиям кондиций Центральная и Западная залежи распадаются на отдельные рудные тела: Центральная на 6 (рудные тела №№ 1-6), Западная – на 2.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Освоение запасов месторождения началось с отработки запасов Центральной </w:t>
      </w:r>
      <w:proofErr w:type="gramStart"/>
      <w:r w:rsidRPr="001E5E16">
        <w:rPr>
          <w:rFonts w:ascii="Tahoma" w:hAnsi="Tahoma" w:cs="Tahoma"/>
          <w:sz w:val="20"/>
          <w:szCs w:val="20"/>
        </w:rPr>
        <w:t>залежи,  рудного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тела 2, которое вместе с РТ №№ 1 и 3 выделено в 1 очередь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Суммарные балансовые запасы месторождений значительны, большая их часть, за исключением глубокопогруженной юго-восточной части Восточного месторождения, предназначены для отработки открытым способом. Качество бокситов достаточно высокое, уступает только бокситам </w:t>
      </w:r>
      <w:proofErr w:type="spellStart"/>
      <w:r w:rsidRPr="001E5E16">
        <w:rPr>
          <w:rFonts w:ascii="Tahoma" w:hAnsi="Tahoma" w:cs="Tahoma"/>
          <w:sz w:val="20"/>
          <w:szCs w:val="20"/>
        </w:rPr>
        <w:t>Североуральского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бокситового рудника (</w:t>
      </w:r>
      <w:proofErr w:type="spellStart"/>
      <w:r w:rsidRPr="001E5E16">
        <w:rPr>
          <w:rFonts w:ascii="Tahoma" w:hAnsi="Tahoma" w:cs="Tahoma"/>
          <w:sz w:val="20"/>
          <w:szCs w:val="20"/>
        </w:rPr>
        <w:t>СУБРа</w:t>
      </w:r>
      <w:proofErr w:type="spellEnd"/>
      <w:r w:rsidRPr="001E5E16">
        <w:rPr>
          <w:rFonts w:ascii="Tahoma" w:hAnsi="Tahoma" w:cs="Tahoma"/>
          <w:sz w:val="20"/>
          <w:szCs w:val="20"/>
        </w:rPr>
        <w:t>). Значительная часть запасов пригодна для переработки на глинозем по способу Байера.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Вежаю-Ворыквинское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1E5E16">
        <w:rPr>
          <w:rFonts w:ascii="Tahoma" w:hAnsi="Tahoma" w:cs="Tahoma"/>
          <w:sz w:val="20"/>
          <w:szCs w:val="20"/>
        </w:rPr>
        <w:t>месторождение  по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количеству и качеству запасов бокситов, степени </w:t>
      </w:r>
      <w:proofErr w:type="spellStart"/>
      <w:r w:rsidRPr="001E5E16">
        <w:rPr>
          <w:rFonts w:ascii="Tahoma" w:hAnsi="Tahoma" w:cs="Tahoma"/>
          <w:sz w:val="20"/>
          <w:szCs w:val="20"/>
        </w:rPr>
        <w:t>разведанности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технико-экономическим показателям переработки руд, оценивается как надежная сырьевая база для строительства самого крупного в РФ </w:t>
      </w:r>
      <w:proofErr w:type="spellStart"/>
      <w:r w:rsidRPr="001E5E16">
        <w:rPr>
          <w:rFonts w:ascii="Tahoma" w:hAnsi="Tahoma" w:cs="Tahoma"/>
          <w:sz w:val="20"/>
          <w:szCs w:val="20"/>
        </w:rPr>
        <w:t>бокситодобывающего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предприятия мощностью до 5-6 млн т. руды в год. Верхне-</w:t>
      </w:r>
      <w:proofErr w:type="spellStart"/>
      <w:r w:rsidRPr="001E5E16">
        <w:rPr>
          <w:rFonts w:ascii="Tahoma" w:hAnsi="Tahoma" w:cs="Tahoma"/>
          <w:sz w:val="20"/>
          <w:szCs w:val="20"/>
        </w:rPr>
        <w:t>Щугорское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Восточное месторождения рассматриваются как резервные, на восполнение выбывающих мощностей СТБР.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lastRenderedPageBreak/>
        <w:t xml:space="preserve">3.4. Постоянные разведочные кондиции для подсчета запасов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впервые были утверждены ГКЗ СССР по результатам детальной разведки в 1974-1975 гг. (протокол № 1105-к от 18.03.1977 г.), которые предусматривали: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оконтуривание залежей по площади и мощности производить, соответственно, по выработкам и пробам с содержанием глинозема 40% и кремниевом модуле (</w:t>
      </w:r>
      <w:proofErr w:type="spellStart"/>
      <w:r w:rsidRPr="001E5E16">
        <w:rPr>
          <w:rFonts w:ascii="Tahoma" w:hAnsi="Tahoma" w:cs="Tahoma"/>
          <w:sz w:val="20"/>
          <w:szCs w:val="20"/>
        </w:rPr>
        <w:t>Msi</w:t>
      </w:r>
      <w:proofErr w:type="spellEnd"/>
      <w:r w:rsidRPr="001E5E16">
        <w:rPr>
          <w:rFonts w:ascii="Tahoma" w:hAnsi="Tahoma" w:cs="Tahoma"/>
          <w:sz w:val="20"/>
          <w:szCs w:val="20"/>
        </w:rPr>
        <w:t>) не ниже 2,6;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минимальную мощность рудного тела и максимальную мощность пустых пород и некондиционных руд – 1,5 м;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 предельный линейный коэффициент вскрыши по скважине – 20 м/м;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 минимальные запасы в отдельном рудном теле - 250 </w:t>
      </w:r>
      <w:proofErr w:type="spellStart"/>
      <w:r w:rsidRPr="001E5E16">
        <w:rPr>
          <w:rFonts w:ascii="Tahoma" w:hAnsi="Tahoma" w:cs="Tahoma"/>
          <w:sz w:val="20"/>
          <w:szCs w:val="20"/>
        </w:rPr>
        <w:t>тыс.т</w:t>
      </w:r>
      <w:proofErr w:type="spellEnd"/>
      <w:r w:rsidRPr="001E5E16">
        <w:rPr>
          <w:rFonts w:ascii="Tahoma" w:hAnsi="Tahoma" w:cs="Tahoma"/>
          <w:sz w:val="20"/>
          <w:szCs w:val="20"/>
        </w:rPr>
        <w:t>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статистическую оценку запасов и качества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байеровских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1E5E16">
        <w:rPr>
          <w:rFonts w:ascii="Tahoma" w:hAnsi="Tahoma" w:cs="Tahoma"/>
          <w:sz w:val="20"/>
          <w:szCs w:val="20"/>
        </w:rPr>
        <w:t>спекательных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бокситов с отнесением к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байеровским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80% запасов бокситов с повышенным кремниевым модулем;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подсчет запасов галлия и ванадия в контуре балансовых запасов бокситов, а также запасов базальтов, залегающих в породах вскрыши;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 выделение и подсчет запасов бокситов, пригодных для производства абразивов;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 подсчет запасов бокситов осуществить в контурах карьеров, уточненных проектирующей организацией;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подсчет </w:t>
      </w:r>
      <w:proofErr w:type="spellStart"/>
      <w:r w:rsidRPr="001E5E16">
        <w:rPr>
          <w:rFonts w:ascii="Tahoma" w:hAnsi="Tahoma" w:cs="Tahoma"/>
          <w:sz w:val="20"/>
          <w:szCs w:val="20"/>
        </w:rPr>
        <w:t>забалансовых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запасов бокситов за контурами карьеров, оконтуренных по кремниевому модулю 2,0 и содержанию глинозема 37%.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На основании постоянных разведочных кондиций утверждены балансовые запасы бокситов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(протокол № 7945 от 28.10.1977 г.), в следующем количестве: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по категории В+С1: балансовые запасы – 131586 </w:t>
      </w:r>
      <w:proofErr w:type="spellStart"/>
      <w:r w:rsidRPr="001E5E16">
        <w:rPr>
          <w:rFonts w:ascii="Tahoma" w:hAnsi="Tahoma" w:cs="Tahoma"/>
          <w:sz w:val="20"/>
          <w:szCs w:val="20"/>
        </w:rPr>
        <w:t>тыс.т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руды;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по категории С2: балансовые запасы – 14997 </w:t>
      </w:r>
      <w:proofErr w:type="spellStart"/>
      <w:r w:rsidRPr="001E5E16">
        <w:rPr>
          <w:rFonts w:ascii="Tahoma" w:hAnsi="Tahoma" w:cs="Tahoma"/>
          <w:sz w:val="20"/>
          <w:szCs w:val="20"/>
        </w:rPr>
        <w:t>тыс.т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руды;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среднее содержание в запасах промышленных категорий: Al2O3 – 49,14%; SiO2 – 8,05%; Fe2O3 вал – 27,36%, кремниевом модуле (</w:t>
      </w:r>
      <w:proofErr w:type="spellStart"/>
      <w:r w:rsidRPr="001E5E16">
        <w:rPr>
          <w:rFonts w:ascii="Tahoma" w:hAnsi="Tahoma" w:cs="Tahoma"/>
          <w:sz w:val="20"/>
          <w:szCs w:val="20"/>
        </w:rPr>
        <w:t>Msi</w:t>
      </w:r>
      <w:proofErr w:type="spellEnd"/>
      <w:r w:rsidRPr="001E5E16">
        <w:rPr>
          <w:rFonts w:ascii="Tahoma" w:hAnsi="Tahoma" w:cs="Tahoma"/>
          <w:sz w:val="20"/>
          <w:szCs w:val="20"/>
        </w:rPr>
        <w:t>) - 6.1;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По результатам </w:t>
      </w:r>
      <w:proofErr w:type="spellStart"/>
      <w:r w:rsidRPr="001E5E16">
        <w:rPr>
          <w:rFonts w:ascii="Tahoma" w:hAnsi="Tahoma" w:cs="Tahoma"/>
          <w:sz w:val="20"/>
          <w:szCs w:val="20"/>
        </w:rPr>
        <w:t>доразведки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маложелезистых огнеупорных бокситов (МЖБ) в пределах трех участков Центральной залежи, проведённой в 1987 – 1992 гг., ГКЗ СССР были утверждены постоянные разведочные кондиции для этих участков (протокол № 2492-к от 18.10.1991 г.) и запасы (протокол № 14 от 21.02.1992 г.).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1999 г. в связи с ужесточением требований заводов потребителей к качеству бокситов были пересмотрены кондиции, в ГКЗ МПР РФ были </w:t>
      </w:r>
      <w:proofErr w:type="spellStart"/>
      <w:r w:rsidRPr="001E5E16">
        <w:rPr>
          <w:rFonts w:ascii="Tahoma" w:hAnsi="Tahoma" w:cs="Tahoma"/>
          <w:sz w:val="20"/>
          <w:szCs w:val="20"/>
        </w:rPr>
        <w:t>переутверждены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разведочные кондиции для подсчета запасов глиноземных бокситов 1 очереди промышленного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(протокол № 70-к от 23.06.1999 г.), которые предусматривали: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подсчет балансовых запасов выполнять в проектных контурах карьеров №№ 1,2,3;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оконтуривание рудных тел по мощности производить по бортовому содержанию </w:t>
      </w:r>
      <w:proofErr w:type="spellStart"/>
      <w:r w:rsidRPr="001E5E16">
        <w:rPr>
          <w:rFonts w:ascii="Tahoma" w:hAnsi="Tahoma" w:cs="Tahoma"/>
          <w:sz w:val="20"/>
          <w:szCs w:val="20"/>
        </w:rPr>
        <w:t>Апр</w:t>
      </w:r>
      <w:proofErr w:type="spellEnd"/>
      <w:r w:rsidRPr="001E5E16">
        <w:rPr>
          <w:rFonts w:ascii="Tahoma" w:hAnsi="Tahoma" w:cs="Tahoma"/>
          <w:sz w:val="20"/>
          <w:szCs w:val="20"/>
        </w:rPr>
        <w:t>= Al2O3–2SiO2 в пробах не ниже значений, указанных в таблице 1.</w:t>
      </w:r>
    </w:p>
    <w:p w:rsidR="001E5E16" w:rsidRPr="001E5E16" w:rsidRDefault="001E5E16" w:rsidP="001E5E16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минимальная мощность рудного тела, включаемая в подсчет запасов – 1,5 м;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максимальная мощность прослоев пустых пород и некондиционных руд, включаемая в подсчет – 1,5 м;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запасы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1E5E16">
        <w:rPr>
          <w:rFonts w:ascii="Tahoma" w:hAnsi="Tahoma" w:cs="Tahoma"/>
          <w:sz w:val="20"/>
          <w:szCs w:val="20"/>
        </w:rPr>
        <w:t>спекательного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сортов бокситов подсчитать статистически по разведочным пересечениям, относя к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байеровскому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сорту рудные пересечения со средним значением величины сортового интервала </w:t>
      </w:r>
      <w:proofErr w:type="spellStart"/>
      <w:r w:rsidRPr="001E5E16">
        <w:rPr>
          <w:rFonts w:ascii="Tahoma" w:hAnsi="Tahoma" w:cs="Tahoma"/>
          <w:sz w:val="20"/>
          <w:szCs w:val="20"/>
        </w:rPr>
        <w:t>Апр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не ниже приведенного в таблице 1; к </w:t>
      </w:r>
      <w:proofErr w:type="spellStart"/>
      <w:r w:rsidRPr="001E5E16">
        <w:rPr>
          <w:rFonts w:ascii="Tahoma" w:hAnsi="Tahoma" w:cs="Tahoma"/>
          <w:sz w:val="20"/>
          <w:szCs w:val="20"/>
        </w:rPr>
        <w:t>спекательному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сорту относить бокситы со средним значением выше бортового, но ниже сортового;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в контуре балансовых запасов бокситов для глиноземного производства подсчитать запасы галлия и ванадия;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в контуре карьеров №№ 1,2,3 подсчитать запасы базальтов во вскрыше рудных тел бокситов согласно кондициям, утвержденным ГКЗ СССР (протокол № 2086-к от 11.12.1985 г.).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lastRenderedPageBreak/>
        <w:t>По рекомендации ГКЗ РФ действие разведочных кондиций распространяется только на 1, 2 и 3 рудные тела Центральной залежи, запасы которых являлись первоочередной сырьевой базой для Средне-</w:t>
      </w:r>
      <w:proofErr w:type="spellStart"/>
      <w:r w:rsidRPr="001E5E16">
        <w:rPr>
          <w:rFonts w:ascii="Tahoma" w:hAnsi="Tahoma" w:cs="Tahoma"/>
          <w:sz w:val="20"/>
          <w:szCs w:val="20"/>
        </w:rPr>
        <w:t>Тиманского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рудника и обеспечивали работу предприятия при проектной производительности 2500 тыс. тонн/год, определяемой подтвержденной потребностью, на срок более 20 лет.</w:t>
      </w:r>
    </w:p>
    <w:p w:rsidR="001E5E16" w:rsidRPr="001E5E16" w:rsidRDefault="001E5E16" w:rsidP="001E5E16">
      <w:pPr>
        <w:spacing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Основные параметры действующих разведочных кондиций, утверждённые для подсчета запасов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в 1977 и 1999 гг., приведены в таблице 2.</w:t>
      </w:r>
    </w:p>
    <w:p w:rsidR="001E5E16" w:rsidRPr="001E5E16" w:rsidRDefault="001E5E16" w:rsidP="001E5E16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По утверждённым Протоколом ГКЗ РФ № 70-к от 23.06.1999 г. кондициям была выполнена переоценка запасов 1-ой очереди промышленного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и утверждены запасы (протокол № 666 от 29.06.2001 г.) в следующих количествах</w:t>
      </w:r>
      <w:r w:rsidRPr="001E5E16">
        <w:rPr>
          <w:rStyle w:val="apple-converted-space"/>
          <w:rFonts w:ascii="Tahoma" w:hAnsi="Tahoma" w:cs="Tahoma"/>
          <w:sz w:val="20"/>
          <w:szCs w:val="20"/>
        </w:rPr>
        <w:t> </w:t>
      </w:r>
      <w:r w:rsidRPr="001E5E16">
        <w:rPr>
          <w:rFonts w:ascii="Tahoma" w:hAnsi="Tahoma" w:cs="Tahoma"/>
          <w:sz w:val="20"/>
          <w:szCs w:val="20"/>
        </w:rPr>
        <w:t>(таблица 3):</w:t>
      </w:r>
    </w:p>
    <w:p w:rsidR="001E5E16" w:rsidRPr="001E5E16" w:rsidRDefault="001E5E16" w:rsidP="001E5E16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На настоящий момент бокситовая руда, добываемая 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>», направляется на Уральский и Богословский глиноземный заводы для переработки по действующим ценам. Обеспеченность предприятия остатком запасов 1-ой очереди освоения составляет 18 лет.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3.5. Спецификой настоящего «ТЭО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месторождения» применительно к новым экономическим условиям» является то, что содержание и форма настоящего заключения носит, в значительной мере, </w:t>
      </w:r>
      <w:proofErr w:type="spellStart"/>
      <w:proofErr w:type="gramStart"/>
      <w:r w:rsidRPr="001E5E16">
        <w:rPr>
          <w:rFonts w:ascii="Tahoma" w:hAnsi="Tahoma" w:cs="Tahoma"/>
          <w:sz w:val="20"/>
          <w:szCs w:val="20"/>
        </w:rPr>
        <w:t>констатационный</w:t>
      </w:r>
      <w:proofErr w:type="spellEnd"/>
      <w:r w:rsidRPr="001E5E16">
        <w:rPr>
          <w:rFonts w:ascii="Tahoma" w:hAnsi="Tahoma" w:cs="Tahoma"/>
          <w:sz w:val="20"/>
          <w:szCs w:val="20"/>
        </w:rPr>
        <w:t>  и</w:t>
      </w:r>
      <w:proofErr w:type="gramEnd"/>
      <w:r w:rsidRPr="001E5E16">
        <w:rPr>
          <w:rFonts w:ascii="Tahoma" w:hAnsi="Tahoma" w:cs="Tahoma"/>
          <w:sz w:val="20"/>
          <w:szCs w:val="20"/>
        </w:rPr>
        <w:t>, частично, рекомендательный характер.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Таким образом, подход к анализу качества представленных авторами материалов не предполагает их строгое соответствие «Методическим рекомендациям по составу и правилам оформления представляемых на государственную экспертизу материалов по технико-экономическим обоснованиям кондиций для подсчета запасов месторождений полезных ископаемых …», так как целью представленной работы не является ни разработка разведочных кондиций, ни подсчет запасов.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3.6. В материалах приведена информация об общих особенностях геологического строения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месторождения, дано обоснованное изложение геологической и структурной позиции месторождения, его генезиса, основных факторов размещения рудных тел; приведена их морфологическая характеристика. Оконтуривание рудных тел выполнено в соответствии с утвержденными параметрами кондиций.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Достаточно полно охарактеризованы условия залегания, морфология и строение рудных тел глиноземных бокситов. Кратко охарактеризованы основные параметры Центральной, Западной и Верхне-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Ворыквинская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залежей. Сделан обоснованный вывод о том, что основные морфологические параметры рудных тел бокситов зависят от кондиционных показателей, применяемых для подсчета запасов. Подчеркнуто, что рудные тела 1 очереди освоения от остальных рудных тел месторождения отличаются более простыми горнотехническими условиями эксплуатации, а именно – меньшей глубиной залегания и размещением основных запасов рудных тел выше уровня грунтовых вод.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Кратко, но в достаточном объеме, охарактеризованы маложелезистые бокситы, тела которых выделены в пределах рудных тел 1 и 5 глиноземных бокситов Центральной залежи.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материалах проанализированы качественные показатели руд, обосновывающие   соответствие действующих кондиций </w:t>
      </w:r>
      <w:proofErr w:type="gramStart"/>
      <w:r w:rsidRPr="001E5E16">
        <w:rPr>
          <w:rFonts w:ascii="Tahoma" w:hAnsi="Tahoma" w:cs="Tahoma"/>
          <w:sz w:val="20"/>
          <w:szCs w:val="20"/>
        </w:rPr>
        <w:t>с  применяемой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технологией добычи и переработки бокситов.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По составу и технологическим свойствам в составе бокситов для глиноземного производства выделены два технологических сорта: высококачественные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байеровские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(ГБ-б) и </w:t>
      </w:r>
      <w:proofErr w:type="spellStart"/>
      <w:r w:rsidRPr="001E5E16">
        <w:rPr>
          <w:rFonts w:ascii="Tahoma" w:hAnsi="Tahoma" w:cs="Tahoma"/>
          <w:sz w:val="20"/>
          <w:szCs w:val="20"/>
        </w:rPr>
        <w:t>спекательные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(ГБ-с) бокситы. Соотношение сортов </w:t>
      </w:r>
      <w:proofErr w:type="spellStart"/>
      <w:r w:rsidRPr="001E5E16">
        <w:rPr>
          <w:rFonts w:ascii="Tahoma" w:hAnsi="Tahoma" w:cs="Tahoma"/>
          <w:sz w:val="20"/>
          <w:szCs w:val="20"/>
        </w:rPr>
        <w:t>ГБ-</w:t>
      </w:r>
      <w:proofErr w:type="gramStart"/>
      <w:r w:rsidRPr="001E5E16">
        <w:rPr>
          <w:rFonts w:ascii="Tahoma" w:hAnsi="Tahoma" w:cs="Tahoma"/>
          <w:sz w:val="20"/>
          <w:szCs w:val="20"/>
        </w:rPr>
        <w:t>б:ГБ</w:t>
      </w:r>
      <w:proofErr w:type="gramEnd"/>
      <w:r w:rsidRPr="001E5E16">
        <w:rPr>
          <w:rFonts w:ascii="Tahoma" w:hAnsi="Tahoma" w:cs="Tahoma"/>
          <w:sz w:val="20"/>
          <w:szCs w:val="20"/>
        </w:rPr>
        <w:t>-с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 валовых запасах глиноземного сырья по результатам переоценки рудных тел 1 очереди освоения составило 70:30, соотношение сортов по результатам утвержденного подсчета запасов 2 очереди – 92:8.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целом, степень геологической изученности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можно считать высокой. Так же можно согласиться с тем, что объемы и методы выполненного опробования и аналитических работ вполне удовлетворительны и пригодны для оконтуривания и подсчета запасов бокситов.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Вопросы технологической изученности бокситов, а также гидрогеологические и инженерно-геологические условия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рассмотрены в достаточном объеме и замечаний не вызывают.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lastRenderedPageBreak/>
        <w:t xml:space="preserve">В основу экономических расчетов положена отработка остаточных запасов бокситов 1 очереди освоения, </w:t>
      </w:r>
      <w:proofErr w:type="gramStart"/>
      <w:r w:rsidRPr="001E5E16">
        <w:rPr>
          <w:rFonts w:ascii="Tahoma" w:hAnsi="Tahoma" w:cs="Tahoma"/>
          <w:sz w:val="20"/>
          <w:szCs w:val="20"/>
        </w:rPr>
        <w:t>которая  предусматривается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в период 2011-2027 гг. открытым способом с использованием транспортно-экскаваторной системы и </w:t>
      </w:r>
      <w:proofErr w:type="spellStart"/>
      <w:r w:rsidRPr="001E5E16">
        <w:rPr>
          <w:rFonts w:ascii="Tahoma" w:hAnsi="Tahoma" w:cs="Tahoma"/>
          <w:sz w:val="20"/>
          <w:szCs w:val="20"/>
        </w:rPr>
        <w:t>тонкослоевой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E5E16">
        <w:rPr>
          <w:rFonts w:ascii="Tahoma" w:hAnsi="Tahoma" w:cs="Tahoma"/>
          <w:sz w:val="20"/>
          <w:szCs w:val="20"/>
        </w:rPr>
        <w:t>безвзрывной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технологии отработки фрезерным комбайном в соответствии с календарным планом, составленным применительно к достигнутой производительности СТБР и существующему уровню потребности в товарной продукции рудника.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В соответствии с Методическими рекомендациями ГКЗ, выполнена экономическая оценка эффективности инвестиций от добычи руды и до получения конечной продукции – до стадии производства металла, (алюминия из глиноземных бокситов СТБР).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Однако, к выполненным расчетам имеется ряд замечаний, на которые следует обратить внимание при подготовке материалов технико-экономического обоснования кондиций, а именно: расчет себестоимости попутных компонентов; обоснование затрат на производство и реализацию глинозема и алюминия; стоимость товарной продукции.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В целом, выполненные расчеты, свидетельствуют о том, что реализация в системе холдинга проекта при принятых для расчета параметрах, экономически выгодна, однако при изменении себестоимости или цены, или обоих параметров вместе – он может перейти в разряд экономически неэффективного.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4. Рассмотрев представленные материалы, секция твердых полезных ископаемых ЭТС ГКЗ отмечает: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4.1. Целью представленной на анализ работы являлось выполнение пункта 4.1.з лицензионного соглашения об условиях пользования недрами к лицензии СЫК 11363 ТЭ, в соответствии с которым </w:t>
      </w:r>
      <w:proofErr w:type="spellStart"/>
      <w:r w:rsidRPr="001E5E16">
        <w:rPr>
          <w:rFonts w:ascii="Tahoma" w:hAnsi="Tahoma" w:cs="Tahoma"/>
          <w:sz w:val="20"/>
          <w:szCs w:val="20"/>
        </w:rPr>
        <w:t>недропользователь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(ОАО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») «обеспечить подготовку и представление на государственную экспертизу запасов полезных ископаемых технико-экономического обоснования (ТЭО)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 не позднее 30 ноября 2007 года (содержание и состав ТЭО согласовать с Агентством и ГКЗ МПР России не позднее 30 мая 2007 года); на основании результатов рассмотрения ТЭО </w:t>
      </w:r>
      <w:proofErr w:type="spellStart"/>
      <w:r w:rsidRPr="001E5E16">
        <w:rPr>
          <w:rFonts w:ascii="Tahoma" w:hAnsi="Tahoma" w:cs="Tahoma"/>
          <w:sz w:val="20"/>
          <w:szCs w:val="20"/>
        </w:rPr>
        <w:t>недропользователь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вносит предложения по дополнению Лицензионного соглашения». Данный пункт лицензионного соглашения был добавлен лицензирующим органом в 2004 г. в связи с планами по строительству в то время </w:t>
      </w:r>
      <w:proofErr w:type="spellStart"/>
      <w:r w:rsidRPr="001E5E16">
        <w:rPr>
          <w:rFonts w:ascii="Tahoma" w:hAnsi="Tahoma" w:cs="Tahoma"/>
          <w:sz w:val="20"/>
          <w:szCs w:val="20"/>
        </w:rPr>
        <w:t>Сосногорского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глиноземного завода, ориентированного на переработку бокситов по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байеровскому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методу. Введение в действие этого завода должно было привести к изменению требований к качеству исходного сырья и, как следствия, к изменению качественных параметров кондиций и запасов, подсчитанных по новым кондициям.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В настоящее время решения по строительству </w:t>
      </w:r>
      <w:proofErr w:type="spellStart"/>
      <w:r w:rsidRPr="001E5E16">
        <w:rPr>
          <w:rFonts w:ascii="Tahoma" w:hAnsi="Tahoma" w:cs="Tahoma"/>
          <w:sz w:val="20"/>
          <w:szCs w:val="20"/>
        </w:rPr>
        <w:t>Сосногорского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завода приостановлены и срок введения его в эксплуатацию не известен, поэтому переоценка запасов 2 очереди освоения месторождения в сегодняшних условиях является нецелесообразной.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4.2. В условия Договора № 87-А от 25.05.2005 г. между ОАО «Боксит </w:t>
      </w:r>
      <w:proofErr w:type="spellStart"/>
      <w:r w:rsidRPr="001E5E16">
        <w:rPr>
          <w:rFonts w:ascii="Tahoma" w:hAnsi="Tahoma" w:cs="Tahoma"/>
          <w:sz w:val="20"/>
          <w:szCs w:val="20"/>
        </w:rPr>
        <w:t>Тимана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» и ОАО «Сибирско-Уральская Алюминиевая компания», в отношении качества товарных глиноземных бокситов, поставляемых Уральским алюминиевым заводам, существенным образом понизили значения средних регламентируемых показателей качества технологических сортов товарных бокситов. Фактически принятие указанных договорных условий приводит к значительной пересортице подсчитанных в недрах запасов сортов при формировании поставляемых объемов, а именно </w:t>
      </w:r>
      <w:proofErr w:type="spellStart"/>
      <w:r w:rsidRPr="001E5E16">
        <w:rPr>
          <w:rFonts w:ascii="Tahoma" w:hAnsi="Tahoma" w:cs="Tahoma"/>
          <w:sz w:val="20"/>
          <w:szCs w:val="20"/>
        </w:rPr>
        <w:t>подшихтовке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бокситов </w:t>
      </w:r>
      <w:proofErr w:type="spellStart"/>
      <w:r w:rsidRPr="001E5E16">
        <w:rPr>
          <w:rFonts w:ascii="Tahoma" w:hAnsi="Tahoma" w:cs="Tahoma"/>
          <w:sz w:val="20"/>
          <w:szCs w:val="20"/>
        </w:rPr>
        <w:t>спекательного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сорта к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байеровским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бокситам и </w:t>
      </w:r>
      <w:proofErr w:type="spellStart"/>
      <w:r w:rsidRPr="001E5E16">
        <w:rPr>
          <w:rFonts w:ascii="Tahoma" w:hAnsi="Tahoma" w:cs="Tahoma"/>
          <w:sz w:val="20"/>
          <w:szCs w:val="20"/>
        </w:rPr>
        <w:t>забалансовых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по качеству бокситов – к бокситам </w:t>
      </w:r>
      <w:proofErr w:type="spellStart"/>
      <w:r w:rsidRPr="001E5E16">
        <w:rPr>
          <w:rFonts w:ascii="Tahoma" w:hAnsi="Tahoma" w:cs="Tahoma"/>
          <w:sz w:val="20"/>
          <w:szCs w:val="20"/>
        </w:rPr>
        <w:t>спекательного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сорта. В сложившихся фактических условиях теряется смысл выделения сортов по утвержденным кондициями параметрам, так как договорные требования к качеству позволяют производить, по сути, валовую отработку запасов, поставляемых в качестве бокситов </w:t>
      </w:r>
      <w:proofErr w:type="spellStart"/>
      <w:r w:rsidRPr="001E5E16">
        <w:rPr>
          <w:rFonts w:ascii="Tahoma" w:hAnsi="Tahoma" w:cs="Tahoma"/>
          <w:sz w:val="20"/>
          <w:szCs w:val="20"/>
        </w:rPr>
        <w:t>байеровского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сорта. В связи с чем имеет смысл пересмотр кондиционных параметров для 1 очереди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месторождения.</w:t>
      </w:r>
    </w:p>
    <w:p w:rsidR="001E5E16" w:rsidRPr="001E5E16" w:rsidRDefault="001E5E16" w:rsidP="001E5E16">
      <w:pPr>
        <w:pStyle w:val="a7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4.3. В материалах выполнен анализ движения запасов бокситов рудных тел 1 очереди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(карьеры №№ 1, 2, 3 СТБР), который показал, что качество бокситов, оставшихся в недрах после добычи, в целом, ниже, чем было в начале разработки. Необходимо отметить, что второе рудное тело является наиболее интенсивно эксплуатируемым (осталось – 46% запасов) и наиболее качественным по составу руд (</w:t>
      </w:r>
      <w:proofErr w:type="spellStart"/>
      <w:r w:rsidRPr="001E5E16">
        <w:rPr>
          <w:rFonts w:ascii="Tahoma" w:hAnsi="Tahoma" w:cs="Tahoma"/>
          <w:sz w:val="20"/>
          <w:szCs w:val="20"/>
        </w:rPr>
        <w:t>Апр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рудного тела 2 изменилось </w:t>
      </w:r>
      <w:r w:rsidRPr="001E5E16">
        <w:rPr>
          <w:rFonts w:ascii="Tahoma" w:hAnsi="Tahoma" w:cs="Tahoma"/>
          <w:sz w:val="20"/>
          <w:szCs w:val="20"/>
        </w:rPr>
        <w:lastRenderedPageBreak/>
        <w:t xml:space="preserve">с 38,33 до 35,77). В то же время, рудные тела 1 и 3, где запасы ещё, в существенной мере, сохранились, имеют руды значительно худшего качества: </w:t>
      </w:r>
      <w:proofErr w:type="spellStart"/>
      <w:r w:rsidRPr="001E5E16">
        <w:rPr>
          <w:rFonts w:ascii="Tahoma" w:hAnsi="Tahoma" w:cs="Tahoma"/>
          <w:sz w:val="20"/>
          <w:szCs w:val="20"/>
        </w:rPr>
        <w:t>Aпр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оставшихся засов рудного тела 1 составляет 32,30; рудного тела 3 – 33,05. Окончательная </w:t>
      </w:r>
      <w:proofErr w:type="gramStart"/>
      <w:r w:rsidRPr="001E5E16">
        <w:rPr>
          <w:rFonts w:ascii="Tahoma" w:hAnsi="Tahoma" w:cs="Tahoma"/>
          <w:sz w:val="20"/>
          <w:szCs w:val="20"/>
        </w:rPr>
        <w:t>отработка  запасов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2 рудного тела,  которая произойдет в ближайшие 5-6 лет, резко понизит общее качество извлекаемых запасов на руднике и не позволит соблюдать базовые показатели договорных условий. В данных условиях рекомендуется: провести работы по своевременной подготовке и вовлечению в отработку запасов более высококачественных бокситов 2-й очереди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или Верхне-</w:t>
      </w:r>
      <w:proofErr w:type="spellStart"/>
      <w:r w:rsidRPr="001E5E16">
        <w:rPr>
          <w:rFonts w:ascii="Tahoma" w:hAnsi="Tahoma" w:cs="Tahoma"/>
          <w:sz w:val="20"/>
          <w:szCs w:val="20"/>
        </w:rPr>
        <w:t>Щугорского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месторождения; провести пересмотр кондиций и </w:t>
      </w:r>
      <w:proofErr w:type="spellStart"/>
      <w:r w:rsidRPr="001E5E16">
        <w:rPr>
          <w:rFonts w:ascii="Tahoma" w:hAnsi="Tahoma" w:cs="Tahoma"/>
          <w:sz w:val="20"/>
          <w:szCs w:val="20"/>
        </w:rPr>
        <w:t>переутвердить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запасы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месторождения; разработать генеральную схему (стратегию) дальнейшего развития СТБР.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4.4. По результатам рассмотрения материалов «ТЭО целесообразности переоценки запасов бокситов и попутных полезных ископаемых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применительно к новым экономическим условиям» на заседании рабочей группы от 14 мая 2012 г. были приняты следующие решения: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- пересмотр кондиций для подсчета запасов 1 и 2 очереди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является целесообразным;</w:t>
      </w:r>
    </w:p>
    <w:p w:rsidR="001E5E16" w:rsidRPr="001E5E16" w:rsidRDefault="001E5E16" w:rsidP="001E5E16">
      <w:pPr>
        <w:spacing w:after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- выводы о преждевременности и нецелесообразности переоценки запасов в сегодняшних условиях являются недостаточно обоснованными.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4.5. В качестве недостатков отмечается:</w:t>
      </w:r>
    </w:p>
    <w:p w:rsidR="001E5E16" w:rsidRPr="001E5E16" w:rsidRDefault="001E5E16" w:rsidP="001E5E16">
      <w:pPr>
        <w:pStyle w:val="a8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4.5.1. В материалах ТЭО расчетами обоснована убыточность отработки запасов бокситов 1 очереди. Это связано с тем, что отпускная цена на боксит не покрывает всех затрат на добычу и является заниженной. В целом, </w:t>
      </w:r>
      <w:proofErr w:type="spellStart"/>
      <w:r w:rsidRPr="001E5E16">
        <w:rPr>
          <w:rFonts w:ascii="Tahoma" w:hAnsi="Tahoma" w:cs="Tahoma"/>
          <w:sz w:val="20"/>
          <w:szCs w:val="20"/>
        </w:rPr>
        <w:t>дотационность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добычи боксита создана искусственно и не способствует развитию горнодобывающего комплекса. Необходимо урегулировать отпускные цены на бокситовое сырье с потребителями продукции, необходимо подготовить материалы по согласованной с налоговыми органами учетной политике в части расчета НДПИ, включая определение налогооблагаемой базы для расчета НДПИ.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4.5.2. В ТЭО отсутствуют подробные технико-экономические расчеты (сметы и калькуляции) по производству и расчету себестоимости попутных ископаемых (</w:t>
      </w:r>
      <w:proofErr w:type="spellStart"/>
      <w:r w:rsidRPr="001E5E16">
        <w:rPr>
          <w:rFonts w:ascii="Tahoma" w:hAnsi="Tahoma" w:cs="Tahoma"/>
          <w:sz w:val="20"/>
          <w:szCs w:val="20"/>
        </w:rPr>
        <w:t>пентоксида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ванадия, галлия и базальтового щебня). Имеющиеся данные носят весьма оценочный, непроверяемый характер, что делает невозможным анализ экономического обоснования нецелесообразности извлечения попутных ископаемых в готовую продукцию.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4.5.3. Затраты на производство и реализацию глинозема и алюминия приняты на основании цен 1999 года с применением коэффициента - инфляционного индекса - 4,991. Учитывая, что Средне-</w:t>
      </w:r>
      <w:proofErr w:type="spellStart"/>
      <w:r w:rsidRPr="001E5E16">
        <w:rPr>
          <w:rFonts w:ascii="Tahoma" w:hAnsi="Tahoma" w:cs="Tahoma"/>
          <w:sz w:val="20"/>
          <w:szCs w:val="20"/>
        </w:rPr>
        <w:t>Тиманский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бокситовый рудник входит в состав ОК РУСАЛА, в структуре которого находятся глиноземные и алюминиевые заводы, выполнять расчеты себестоимости глинозема и алюминия с применением коэффициентов некорректно.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>5. По итогам рассмотрения ЭТС ГКЗ ПОСТАНОВЛЯЕТ: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5.1. Разработать генеральный план развития Средне-</w:t>
      </w:r>
      <w:proofErr w:type="spellStart"/>
      <w:r w:rsidRPr="001E5E16">
        <w:rPr>
          <w:rFonts w:ascii="Tahoma" w:hAnsi="Tahoma" w:cs="Tahoma"/>
          <w:sz w:val="20"/>
          <w:szCs w:val="20"/>
        </w:rPr>
        <w:t>Тиманского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бокситового рудника.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5.2. Провести оперативный подсчет запасов 1 очереди освоения </w:t>
      </w:r>
      <w:proofErr w:type="spellStart"/>
      <w:r w:rsidRPr="001E5E16">
        <w:rPr>
          <w:rFonts w:ascii="Tahoma" w:hAnsi="Tahoma" w:cs="Tahoma"/>
          <w:sz w:val="20"/>
          <w:szCs w:val="20"/>
        </w:rPr>
        <w:t>Вежаю-Ворыквинского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месторождения с целью перевода </w:t>
      </w:r>
      <w:proofErr w:type="spellStart"/>
      <w:r w:rsidRPr="001E5E16">
        <w:rPr>
          <w:rFonts w:ascii="Tahoma" w:hAnsi="Tahoma" w:cs="Tahoma"/>
          <w:sz w:val="20"/>
          <w:szCs w:val="20"/>
        </w:rPr>
        <w:t>забалансовых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запасов </w:t>
      </w:r>
      <w:proofErr w:type="gramStart"/>
      <w:r w:rsidRPr="001E5E16">
        <w:rPr>
          <w:rFonts w:ascii="Tahoma" w:hAnsi="Tahoma" w:cs="Tahoma"/>
          <w:sz w:val="20"/>
          <w:szCs w:val="20"/>
        </w:rPr>
        <w:t>бокситов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вовлекаемых в отработку в кровле балансовых запасов в балансовые.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5.3. Согласно Генеральному плану развития СТБР провести пересмотр кондиций и </w:t>
      </w:r>
      <w:proofErr w:type="spellStart"/>
      <w:r w:rsidRPr="001E5E16">
        <w:rPr>
          <w:rFonts w:ascii="Tahoma" w:hAnsi="Tahoma" w:cs="Tahoma"/>
          <w:sz w:val="20"/>
          <w:szCs w:val="20"/>
        </w:rPr>
        <w:t>переутвердить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запасы </w:t>
      </w:r>
      <w:proofErr w:type="spellStart"/>
      <w:r w:rsidRPr="001E5E16">
        <w:rPr>
          <w:rFonts w:ascii="Tahoma" w:hAnsi="Tahoma" w:cs="Tahoma"/>
          <w:sz w:val="20"/>
          <w:szCs w:val="20"/>
        </w:rPr>
        <w:t>Ворыквинской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группы месторождений в соответствии с действующими техническими условиями, а также современными технологическими и горнотехническими условиями их отработки.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Style w:val="a3"/>
          <w:rFonts w:ascii="Tahoma" w:hAnsi="Tahoma" w:cs="Tahoma"/>
          <w:sz w:val="20"/>
          <w:szCs w:val="20"/>
        </w:rPr>
        <w:t xml:space="preserve">5.4. Рекомендовать </w:t>
      </w:r>
      <w:proofErr w:type="spellStart"/>
      <w:r w:rsidRPr="001E5E16">
        <w:rPr>
          <w:rStyle w:val="a3"/>
          <w:rFonts w:ascii="Tahoma" w:hAnsi="Tahoma" w:cs="Tahoma"/>
          <w:sz w:val="20"/>
          <w:szCs w:val="20"/>
        </w:rPr>
        <w:t>недропользователю</w:t>
      </w:r>
      <w:proofErr w:type="spellEnd"/>
      <w:r w:rsidRPr="001E5E16">
        <w:rPr>
          <w:rStyle w:val="a3"/>
          <w:rFonts w:ascii="Tahoma" w:hAnsi="Tahoma" w:cs="Tahoma"/>
          <w:sz w:val="20"/>
          <w:szCs w:val="20"/>
        </w:rPr>
        <w:t>: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5.4.1. Произвести технико-экономические расчеты и оценить балансовую принадлежность попутных полезных ископаемых: </w:t>
      </w:r>
      <w:proofErr w:type="spellStart"/>
      <w:r w:rsidRPr="001E5E16">
        <w:rPr>
          <w:rFonts w:ascii="Tahoma" w:hAnsi="Tahoma" w:cs="Tahoma"/>
          <w:sz w:val="20"/>
          <w:szCs w:val="20"/>
        </w:rPr>
        <w:t>пентоксида</w:t>
      </w:r>
      <w:proofErr w:type="spellEnd"/>
      <w:r w:rsidRPr="001E5E16">
        <w:rPr>
          <w:rFonts w:ascii="Tahoma" w:hAnsi="Tahoma" w:cs="Tahoma"/>
          <w:sz w:val="20"/>
          <w:szCs w:val="20"/>
        </w:rPr>
        <w:t xml:space="preserve"> ванадия, галлия и базальтового щебня, а </w:t>
      </w:r>
      <w:proofErr w:type="gramStart"/>
      <w:r w:rsidRPr="001E5E16">
        <w:rPr>
          <w:rFonts w:ascii="Tahoma" w:hAnsi="Tahoma" w:cs="Tahoma"/>
          <w:sz w:val="20"/>
          <w:szCs w:val="20"/>
        </w:rPr>
        <w:t>так же</w:t>
      </w:r>
      <w:proofErr w:type="gramEnd"/>
      <w:r w:rsidRPr="001E5E16">
        <w:rPr>
          <w:rFonts w:ascii="Tahoma" w:hAnsi="Tahoma" w:cs="Tahoma"/>
          <w:sz w:val="20"/>
          <w:szCs w:val="20"/>
        </w:rPr>
        <w:t xml:space="preserve"> выполнить маркетинговые исследования по возможности их реализации.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>5.4.2. Оценить необходимость выделения сортов руд.</w:t>
      </w:r>
    </w:p>
    <w:p w:rsidR="001E5E16" w:rsidRPr="001E5E16" w:rsidRDefault="001E5E16" w:rsidP="001E5E1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E5E16">
        <w:rPr>
          <w:rFonts w:ascii="Tahoma" w:hAnsi="Tahoma" w:cs="Tahoma"/>
          <w:sz w:val="20"/>
          <w:szCs w:val="20"/>
        </w:rPr>
        <w:t xml:space="preserve">5.4.3. При разработке ТЭО кондиций для подсчета запасов </w:t>
      </w:r>
      <w:r>
        <w:rPr>
          <w:rFonts w:ascii="Tahoma" w:hAnsi="Tahoma" w:cs="Tahoma"/>
          <w:sz w:val="20"/>
          <w:szCs w:val="20"/>
        </w:rPr>
        <w:t>учесть замечания и рекомендации</w:t>
      </w:r>
    </w:p>
    <w:p w:rsidR="00B155E7" w:rsidRPr="001E5E16" w:rsidRDefault="00B155E7" w:rsidP="001E5E16"/>
    <w:sectPr w:rsidR="00B155E7" w:rsidRPr="001E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075D4"/>
    <w:multiLevelType w:val="multilevel"/>
    <w:tmpl w:val="26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2066C"/>
    <w:multiLevelType w:val="multilevel"/>
    <w:tmpl w:val="255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1E5E16"/>
    <w:rsid w:val="001F5B27"/>
    <w:rsid w:val="00343065"/>
    <w:rsid w:val="004A4B23"/>
    <w:rsid w:val="004B51CF"/>
    <w:rsid w:val="006128A3"/>
    <w:rsid w:val="00675D6A"/>
    <w:rsid w:val="006D73AC"/>
    <w:rsid w:val="0075689F"/>
    <w:rsid w:val="007654F5"/>
    <w:rsid w:val="007917A7"/>
    <w:rsid w:val="007C369A"/>
    <w:rsid w:val="007F19B5"/>
    <w:rsid w:val="00830F59"/>
    <w:rsid w:val="008A7AA2"/>
    <w:rsid w:val="00A455F4"/>
    <w:rsid w:val="00B155E7"/>
    <w:rsid w:val="00B51617"/>
    <w:rsid w:val="00C541F9"/>
    <w:rsid w:val="00C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2015-12-20T21:09:00Z</dcterms:created>
  <dcterms:modified xsi:type="dcterms:W3CDTF">2015-12-20T21:09:00Z</dcterms:modified>
</cp:coreProperties>
</file>